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60" w:lineRule="exact"/>
        <w:ind w:left="576" w:hanging="576"/>
        <w:rPr>
          <w:rFonts w:ascii="黑体" w:hAnsi="黑体" w:cs="楷体_GB2312"/>
          <w:bCs/>
          <w:sz w:val="32"/>
        </w:rPr>
      </w:pPr>
      <w:r>
        <w:rPr>
          <w:rFonts w:hint="eastAsia" w:ascii="黑体" w:hAnsi="黑体" w:cs="楷体_GB2312"/>
          <w:bCs/>
          <w:sz w:val="32"/>
        </w:rPr>
        <w:t>附件2</w:t>
      </w:r>
    </w:p>
    <w:p>
      <w:pPr>
        <w:pStyle w:val="3"/>
        <w:numPr>
          <w:ilvl w:val="0"/>
          <w:numId w:val="0"/>
        </w:num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信息系统安全保护等级建议表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表1：部门信息系统安全保护等级建议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60"/>
        <w:gridCol w:w="3270"/>
        <w:gridCol w:w="1225"/>
        <w:gridCol w:w="13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505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3270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信息系统</w:t>
            </w:r>
          </w:p>
        </w:tc>
        <w:tc>
          <w:tcPr>
            <w:tcW w:w="4087" w:type="dxa"/>
            <w:gridSpan w:val="3"/>
            <w:shd w:val="clear" w:color="000000" w:fill="C0C0C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建议安全保护等级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505" w:type="dxa"/>
            <w:vMerge w:val="continue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70" w:type="dxa"/>
            <w:vMerge w:val="continue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部级</w:t>
            </w:r>
          </w:p>
        </w:tc>
        <w:tc>
          <w:tcPr>
            <w:tcW w:w="1317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省级</w:t>
            </w:r>
          </w:p>
        </w:tc>
        <w:tc>
          <w:tcPr>
            <w:tcW w:w="1545" w:type="dxa"/>
            <w:shd w:val="clear" w:color="000000" w:fill="C0C0C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（01）</w:t>
            </w:r>
          </w:p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政务管理类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(01)办公与事务处理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(02)公文与信息交换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(03)人事管理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(04)财务管理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(05)资产管理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(06)信访管理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(07)档案管理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(08)党务管理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(09)科研管理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(10)教育统计管理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(11)决策支持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(12)应急指挥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(13)舆情监测与管理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(14)高等教育招生计划管理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(15）普通高校招生网上录取管理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(16)教育考试考务管理与服务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rFonts w:hint="eastAsia"/>
                <w:sz w:val="24"/>
              </w:rPr>
              <w:t xml:space="preserve"> 评审、</w:t>
            </w:r>
            <w:r>
              <w:rPr>
                <w:sz w:val="24"/>
              </w:rPr>
              <w:t>表彰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（02）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学校管理类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(01)学校管理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(02)学科、专业管理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(03)教学改革管理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(04)教学质量评估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(05)校园安全与稳定管理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(06)教育经费监管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（03）</w:t>
            </w:r>
          </w:p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学生管理类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(01)学生学籍管理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(02)招生录取管理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(03)学生资助管理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(04)学位授予管理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（04）</w:t>
            </w:r>
          </w:p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教师管理类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教师基本信息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(02)教师资格认定管理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(03)教师培训管理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04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教育管理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05)教师职称管理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（05）</w:t>
            </w:r>
          </w:p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综合服务类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(01)门户网站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(02)论坛、社区类网站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(03)教育教学资源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(04)毕业、就业信息管理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(05)电子邮件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(06)视频服务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(07)安防监控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(08)内网门户与身份认证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(09)公共数据库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(10)运维管理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</w:tr>
    </w:tbl>
    <w:p>
      <w:pPr>
        <w:spacing w:line="560" w:lineRule="exact"/>
        <w:ind w:firstLine="360" w:firstLineChars="15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说明：区县级教育行政部门及直属事业单位的系统建议一般定为第一级，区县级统一运行系统根据业务重要性建议可定为第二级。本表中未单独列出。</w:t>
      </w:r>
    </w:p>
    <w:p>
      <w:pPr>
        <w:pStyle w:val="4"/>
        <w:numPr>
          <w:ilvl w:val="0"/>
          <w:numId w:val="0"/>
        </w:numPr>
        <w:spacing w:line="560" w:lineRule="exact"/>
        <w:rPr>
          <w:rFonts w:ascii="仿宋_GB2312" w:hAnsi="仿宋_GB2312" w:eastAsia="仿宋_GB2312" w:cs="仿宋_GB2312"/>
          <w:b w:val="0"/>
          <w:bCs w:val="0"/>
          <w:sz w:val="32"/>
        </w:rPr>
      </w:pPr>
    </w:p>
    <w:p>
      <w:pPr>
        <w:spacing w:line="560" w:lineRule="exact"/>
        <w:ind w:firstLine="560"/>
        <w:jc w:val="center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表</w:t>
      </w:r>
      <w:r>
        <w:rPr>
          <w:rFonts w:cs="宋体" w:asciiTheme="minorEastAsia" w:hAnsiTheme="minorEastAsia" w:eastAsiaTheme="minorEastAsia"/>
          <w:sz w:val="32"/>
          <w:szCs w:val="32"/>
        </w:rPr>
        <w:t>2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：学校信息系统安全保护等级建议</w:t>
      </w:r>
    </w:p>
    <w:p>
      <w:pPr>
        <w:spacing w:line="560" w:lineRule="exact"/>
        <w:ind w:firstLine="560"/>
        <w:jc w:val="center"/>
        <w:rPr>
          <w:rFonts w:cs="宋体" w:asciiTheme="minorEastAsia" w:hAnsiTheme="minorEastAsia" w:eastAsiaTheme="minorEastAsia"/>
          <w:sz w:val="24"/>
          <w:szCs w:val="24"/>
        </w:rPr>
      </w:pPr>
    </w:p>
    <w:tbl>
      <w:tblPr>
        <w:tblStyle w:val="8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560"/>
        <w:gridCol w:w="2954"/>
        <w:gridCol w:w="1582"/>
        <w:gridCol w:w="127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473" w:type="dxa"/>
            <w:vMerge w:val="restart"/>
            <w:shd w:val="clear" w:color="auto" w:fill="CCCCCC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2954" w:type="dxa"/>
            <w:vMerge w:val="restart"/>
            <w:shd w:val="clear" w:color="auto" w:fill="CCCCCC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信息系统</w:t>
            </w:r>
          </w:p>
        </w:tc>
        <w:tc>
          <w:tcPr>
            <w:tcW w:w="4296" w:type="dxa"/>
            <w:gridSpan w:val="3"/>
            <w:shd w:val="clear" w:color="auto" w:fill="CCCCCC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建议安全保护等级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73" w:type="dxa"/>
            <w:vMerge w:val="continue"/>
            <w:shd w:val="clear" w:color="auto" w:fill="CCCCCC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CCCCCC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4" w:type="dxa"/>
            <w:vMerge w:val="continue"/>
            <w:shd w:val="clear" w:color="auto" w:fill="CCCCCC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CCCCCC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sz w:val="24"/>
              </w:rPr>
              <w:t>I类</w:t>
            </w: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>校</w:t>
            </w:r>
          </w:p>
        </w:tc>
        <w:tc>
          <w:tcPr>
            <w:tcW w:w="1275" w:type="dxa"/>
            <w:shd w:val="clear" w:color="auto" w:fill="CCCCCC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sz w:val="24"/>
              </w:rPr>
              <w:t>II类</w:t>
            </w: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>校</w:t>
            </w:r>
          </w:p>
        </w:tc>
        <w:tc>
          <w:tcPr>
            <w:tcW w:w="1439" w:type="dxa"/>
            <w:shd w:val="clear" w:color="auto" w:fill="CCCCCC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sz w:val="24"/>
              </w:rPr>
              <w:t>III类</w:t>
            </w: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（01）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校务管理类</w:t>
            </w: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(01)办公与事务处理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(02)公文与信息交换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(03)人事管理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(04)财务管理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(05)资产管理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(06)后勤管理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(07)学生教育工作管理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(08)学生体质健康数据管理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(09)档案管理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(10)党务管理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（02）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教学科研类</w:t>
            </w: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(01)教学改革管理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(02)学科、专业管理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(03)教务教学管理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(04)教学资源管理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(05)教学质量评估与保障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(06)科研管理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(07)科研情报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（03）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招生就业类</w:t>
            </w: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(01)招生</w:t>
            </w:r>
            <w:r>
              <w:rPr>
                <w:rFonts w:hint="eastAsia"/>
                <w:sz w:val="24"/>
              </w:rPr>
              <w:t>录取</w:t>
            </w:r>
            <w:r>
              <w:rPr>
                <w:sz w:val="24"/>
              </w:rPr>
              <w:t>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(02)学生就业管理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（04）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综合服务类</w:t>
            </w: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(01)门户网站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(02)论坛、社区类网站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(03)数字图书馆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(04)电子邮件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(05)视频服务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(06安防监控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(07)校园一卡通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第三级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(08)内网门户与身份认证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(09)公共数据库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73" w:type="dxa"/>
          </w:tcPr>
          <w:p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(10)运维管理</w:t>
            </w:r>
          </w:p>
        </w:tc>
        <w:tc>
          <w:tcPr>
            <w:tcW w:w="1582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第二级</w:t>
            </w:r>
          </w:p>
        </w:tc>
        <w:tc>
          <w:tcPr>
            <w:tcW w:w="1439" w:type="dxa"/>
          </w:tcPr>
          <w:p>
            <w:pPr>
              <w:widowControl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</w:p>
        </w:tc>
      </w:tr>
    </w:tbl>
    <w:p>
      <w:pPr>
        <w:spacing w:line="560" w:lineRule="exact"/>
        <w:ind w:firstLine="565" w:firstLineChars="202"/>
        <w:rPr>
          <w:color w:val="000000"/>
          <w:sz w:val="28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黑体" w:hAnsi="黑体" w:eastAsia="黑体" w:cs="仿宋_GB2312"/>
          <w:kern w:val="0"/>
          <w:sz w:val="32"/>
          <w:szCs w:val="32"/>
        </w:rPr>
        <w:br w:type="page"/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31017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BFC"/>
    <w:multiLevelType w:val="multilevel"/>
    <w:tmpl w:val="199C3BF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76A93"/>
    <w:multiLevelType w:val="multilevel"/>
    <w:tmpl w:val="1D876A9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1F1B1D"/>
    <w:multiLevelType w:val="multilevel"/>
    <w:tmpl w:val="691F1B1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Arial" w:hAnsi="Arial" w:eastAsia="Arial Unicode MS" w:cs="Arial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="Arial" w:hAnsi="Arial" w:eastAsia="Arial Unicode MS" w:cs="Arial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D00CC"/>
    <w:rsid w:val="16CD00CC"/>
    <w:rsid w:val="5F2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line="360" w:lineRule="auto"/>
      <w:outlineLvl w:val="0"/>
    </w:pPr>
    <w:rPr>
      <w:rFonts w:eastAsia="黑体"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line="360" w:lineRule="auto"/>
      <w:outlineLvl w:val="1"/>
    </w:pPr>
    <w:rPr>
      <w:rFonts w:eastAsia="黑体"/>
      <w:kern w:val="0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415" w:lineRule="auto"/>
      <w:outlineLvl w:val="2"/>
    </w:pPr>
    <w:rPr>
      <w:rFonts w:ascii="黑体" w:hAnsi="黑体" w:eastAsia="黑体"/>
      <w:b/>
      <w:bCs/>
      <w:kern w:val="0"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2019-03-24T02:12:00Z</dcterms:created>
  <dc:creator>静过-彬</dc:creator>
  <cp:lastModifiedBy>静过-彬</cp:lastModifiedBy>
  <dcterms:modified xsi:type="dcterms:W3CDTF">2019-03-24T02:14:14Z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